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DE" w:rsidRDefault="00126FDE" w:rsidP="00126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 znak: GPNZ.021.5.2024.EM                     Nowe Żukowice; 31.01.2024</w:t>
      </w:r>
    </w:p>
    <w:p w:rsidR="00126FDE" w:rsidRDefault="00126FDE" w:rsidP="00126FDE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126FDE" w:rsidRDefault="00126FDE" w:rsidP="00126FDE">
      <w:pP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Zarządzenie nr 5/2024</w:t>
      </w:r>
    </w:p>
    <w:p w:rsidR="00126FDE" w:rsidRDefault="00126FDE" w:rsidP="00126FDE">
      <w:pP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Dyrektora Gminnego  Przedszkola w Nowych Żukowicach</w:t>
      </w:r>
    </w:p>
    <w:p w:rsidR="00126FDE" w:rsidRDefault="00126FDE" w:rsidP="00126FDE">
      <w:pP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w sprawie powołania Komisji Rekrutacyjnej</w:t>
      </w:r>
    </w:p>
    <w:p w:rsidR="00126FDE" w:rsidRDefault="00126FDE" w:rsidP="00126FDE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z dnia 31.01.2024 r.</w:t>
      </w:r>
    </w:p>
    <w:p w:rsidR="00126FDE" w:rsidRDefault="00126FDE" w:rsidP="00126FDE">
      <w:pPr>
        <w:spacing w:line="276" w:lineRule="auto"/>
        <w:rPr>
          <w:rFonts w:ascii="Calibri" w:eastAsia="Calibri" w:hAnsi="Calibri" w:cs="Calibri"/>
          <w:color w:val="000000"/>
        </w:rPr>
      </w:pPr>
    </w:p>
    <w:p w:rsidR="00126FDE" w:rsidRDefault="00126FDE" w:rsidP="00126FDE">
      <w:pPr>
        <w:widowControl w:val="0"/>
        <w:suppressAutoHyphens/>
        <w:spacing w:line="276" w:lineRule="auto"/>
        <w:jc w:val="both"/>
        <w:rPr>
          <w:rFonts w:ascii="Liberation Serif" w:eastAsia="DejaVu Sans" w:hAnsi="Liberation Serif" w:cs="FreeSans"/>
          <w:kern w:val="2"/>
          <w:lang w:val="x-none" w:eastAsia="zh-CN" w:bidi="hi-IN"/>
        </w:rPr>
      </w:pPr>
      <w:r>
        <w:rPr>
          <w:rFonts w:ascii="Times New Roman" w:hAnsi="Times New Roman" w:cs="Times New Roman"/>
        </w:rPr>
        <w:t xml:space="preserve">Na podstawie art. 157 ust. 1i 2 ustawy, art. 158, 160,161 z dnia 14 grudnia 2016 r. – Prawo oświatowe ( </w:t>
      </w:r>
      <w:r w:rsidRPr="00300980">
        <w:rPr>
          <w:rFonts w:ascii="Times New Roman" w:hAnsi="Times New Roman" w:cs="Times New Roman"/>
          <w:shd w:val="clear" w:color="auto" w:fill="FFFFFF"/>
        </w:rPr>
        <w:t>Dz. U. z 2023 r. poz. 900, 1672, 1718 i 2005)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DejaVu Sans" w:hAnsi="Times New Roman" w:cs="Times New Roman"/>
          <w:kern w:val="2"/>
          <w:lang w:val="x-none" w:eastAsia="zh-CN" w:bidi="hi-IN"/>
        </w:rPr>
        <w:t xml:space="preserve"> zarządza się, co następuje:</w:t>
      </w:r>
    </w:p>
    <w:p w:rsidR="00126FDE" w:rsidRDefault="00126FDE" w:rsidP="00126FDE">
      <w:pPr>
        <w:widowControl w:val="0"/>
        <w:suppressAutoHyphens/>
        <w:spacing w:line="276" w:lineRule="auto"/>
        <w:jc w:val="both"/>
        <w:rPr>
          <w:rFonts w:ascii="Times New Roman" w:eastAsia="DejaVu Sans" w:hAnsi="Times New Roman" w:cs="Times New Roman"/>
          <w:kern w:val="2"/>
          <w:lang w:val="x-none" w:eastAsia="zh-CN" w:bidi="hi-IN"/>
        </w:rPr>
      </w:pPr>
    </w:p>
    <w:p w:rsidR="00126FDE" w:rsidRDefault="00126FDE" w:rsidP="00126FDE">
      <w:pPr>
        <w:widowControl w:val="0"/>
        <w:suppressAutoHyphens/>
        <w:spacing w:line="276" w:lineRule="auto"/>
        <w:jc w:val="center"/>
        <w:rPr>
          <w:rFonts w:ascii="Liberation Serif" w:eastAsia="DejaVu Sans" w:hAnsi="Liberation Serif" w:cs="FreeSans"/>
          <w:kern w:val="2"/>
          <w:lang w:val="x-none" w:eastAsia="zh-CN" w:bidi="hi-IN"/>
        </w:rPr>
      </w:pPr>
      <w:r>
        <w:rPr>
          <w:rFonts w:ascii="Times New Roman" w:eastAsia="DejaVu Sans" w:hAnsi="Times New Roman" w:cs="Times New Roman"/>
          <w:b/>
          <w:kern w:val="2"/>
          <w:lang w:val="x-none" w:eastAsia="zh-CN" w:bidi="hi-IN"/>
        </w:rPr>
        <w:t>§ 1</w:t>
      </w:r>
    </w:p>
    <w:p w:rsidR="00126FDE" w:rsidRDefault="00126FDE" w:rsidP="00126FDE">
      <w:pPr>
        <w:widowControl w:val="0"/>
        <w:suppressAutoHyphens/>
        <w:spacing w:line="276" w:lineRule="auto"/>
        <w:jc w:val="both"/>
        <w:rPr>
          <w:rFonts w:ascii="Liberation Serif" w:eastAsia="DejaVu Sans" w:hAnsi="Liberation Serif" w:cs="FreeSans"/>
          <w:kern w:val="2"/>
          <w:lang w:val="x-none" w:eastAsia="zh-CN" w:bidi="hi-IN"/>
        </w:rPr>
      </w:pPr>
      <w:r>
        <w:rPr>
          <w:rFonts w:ascii="Times New Roman" w:eastAsia="DejaVu Sans" w:hAnsi="Times New Roman" w:cs="Times New Roman"/>
          <w:kern w:val="2"/>
          <w:lang w:val="x-none" w:eastAsia="zh-CN" w:bidi="hi-IN"/>
        </w:rPr>
        <w:t>Powołuje się Komisję Rekrutacyjną (zwaną dalej Komisją) do przeprowadzenia postępowania rekrutacyjnego na rok szkolny 202</w:t>
      </w:r>
      <w:r>
        <w:rPr>
          <w:rFonts w:ascii="Times New Roman" w:eastAsia="DejaVu Sans" w:hAnsi="Times New Roman" w:cs="Times New Roman"/>
          <w:kern w:val="2"/>
          <w:lang w:eastAsia="zh-CN" w:bidi="hi-IN"/>
        </w:rPr>
        <w:t>4</w:t>
      </w:r>
      <w:r>
        <w:rPr>
          <w:rFonts w:ascii="Times New Roman" w:eastAsia="DejaVu Sans" w:hAnsi="Times New Roman" w:cs="Times New Roman"/>
          <w:kern w:val="2"/>
          <w:lang w:val="x-none" w:eastAsia="zh-CN" w:bidi="hi-IN"/>
        </w:rPr>
        <w:t>/20</w:t>
      </w:r>
      <w:r>
        <w:rPr>
          <w:rFonts w:ascii="Times New Roman" w:eastAsia="DejaVu Sans" w:hAnsi="Times New Roman" w:cs="Times New Roman"/>
          <w:kern w:val="2"/>
          <w:lang w:eastAsia="zh-CN" w:bidi="hi-IN"/>
        </w:rPr>
        <w:t>25</w:t>
      </w:r>
      <w:r>
        <w:rPr>
          <w:rFonts w:ascii="Times New Roman" w:eastAsia="DejaVu Sans" w:hAnsi="Times New Roman" w:cs="Times New Roman"/>
          <w:kern w:val="2"/>
          <w:lang w:val="x-none" w:eastAsia="zh-CN" w:bidi="hi-IN"/>
        </w:rPr>
        <w:t xml:space="preserve"> w Gminnym Przedszkolu</w:t>
      </w:r>
      <w:r>
        <w:rPr>
          <w:rFonts w:ascii="Times New Roman" w:eastAsia="DejaVu Sans" w:hAnsi="Times New Roman" w:cs="Times New Roman"/>
          <w:kern w:val="2"/>
          <w:lang w:eastAsia="zh-CN" w:bidi="hi-IN"/>
        </w:rPr>
        <w:t xml:space="preserve"> w Nowych Żukowicach</w:t>
      </w:r>
    </w:p>
    <w:p w:rsidR="00126FDE" w:rsidRDefault="00126FDE" w:rsidP="00126FDE">
      <w:pPr>
        <w:widowControl w:val="0"/>
        <w:suppressAutoHyphens/>
        <w:spacing w:line="276" w:lineRule="auto"/>
        <w:jc w:val="both"/>
        <w:rPr>
          <w:rFonts w:ascii="Times New Roman" w:eastAsia="DejaVu Sans" w:hAnsi="Times New Roman" w:cs="Times New Roman"/>
          <w:kern w:val="2"/>
          <w:lang w:eastAsia="zh-CN" w:bidi="hi-IN"/>
        </w:rPr>
      </w:pPr>
    </w:p>
    <w:p w:rsidR="00126FDE" w:rsidRDefault="00126FDE" w:rsidP="00126FDE">
      <w:pPr>
        <w:widowControl w:val="0"/>
        <w:suppressAutoHyphens/>
        <w:spacing w:line="276" w:lineRule="auto"/>
        <w:jc w:val="center"/>
        <w:rPr>
          <w:rFonts w:ascii="Liberation Serif" w:eastAsia="DejaVu Sans" w:hAnsi="Liberation Serif" w:cs="FreeSans"/>
          <w:kern w:val="2"/>
          <w:lang w:val="x-none" w:eastAsia="zh-CN" w:bidi="hi-IN"/>
        </w:rPr>
      </w:pPr>
      <w:r>
        <w:rPr>
          <w:rFonts w:ascii="Times New Roman" w:eastAsia="DejaVu Sans" w:hAnsi="Times New Roman" w:cs="Times New Roman"/>
          <w:b/>
          <w:kern w:val="2"/>
          <w:lang w:val="x-none" w:eastAsia="zh-CN" w:bidi="hi-IN"/>
        </w:rPr>
        <w:t>§ 2</w:t>
      </w:r>
    </w:p>
    <w:p w:rsidR="00126FDE" w:rsidRDefault="00126FDE" w:rsidP="00126FDE">
      <w:pPr>
        <w:widowControl w:val="0"/>
        <w:suppressAutoHyphens/>
        <w:spacing w:line="276" w:lineRule="auto"/>
        <w:jc w:val="both"/>
        <w:rPr>
          <w:rFonts w:ascii="Liberation Serif" w:eastAsia="DejaVu Sans" w:hAnsi="Liberation Serif" w:cs="FreeSans"/>
          <w:kern w:val="2"/>
          <w:lang w:val="x-none" w:eastAsia="zh-CN" w:bidi="hi-IN"/>
        </w:rPr>
      </w:pPr>
      <w:r>
        <w:rPr>
          <w:rFonts w:ascii="Times New Roman" w:eastAsia="DejaVu Sans" w:hAnsi="Times New Roman" w:cs="Times New Roman"/>
          <w:kern w:val="2"/>
          <w:lang w:val="x-none" w:eastAsia="zh-CN" w:bidi="hi-IN"/>
        </w:rPr>
        <w:t>Do zadań Komisji należy:</w:t>
      </w:r>
    </w:p>
    <w:p w:rsidR="00126FDE" w:rsidRDefault="00126FDE" w:rsidP="00126FDE">
      <w:pPr>
        <w:widowControl w:val="0"/>
        <w:suppressAutoHyphens/>
        <w:spacing w:line="276" w:lineRule="auto"/>
        <w:ind w:left="360"/>
        <w:jc w:val="both"/>
        <w:rPr>
          <w:rFonts w:ascii="Liberation Serif" w:eastAsia="DejaVu Sans" w:hAnsi="Liberation Serif" w:cs="FreeSans"/>
          <w:kern w:val="2"/>
          <w:lang w:val="x-none" w:eastAsia="zh-CN" w:bidi="hi-IN"/>
        </w:rPr>
      </w:pPr>
      <w:r>
        <w:rPr>
          <w:rFonts w:ascii="Times New Roman" w:eastAsia="DejaVu Sans" w:hAnsi="Times New Roman" w:cs="Times New Roman"/>
          <w:kern w:val="2"/>
          <w:lang w:eastAsia="zh-CN" w:bidi="hi-IN"/>
        </w:rPr>
        <w:t>1.weryfikacja</w:t>
      </w:r>
      <w:r>
        <w:rPr>
          <w:rFonts w:ascii="Times New Roman" w:eastAsia="DejaVu Sans" w:hAnsi="Times New Roman" w:cs="Times New Roman"/>
          <w:kern w:val="2"/>
          <w:lang w:val="x-none" w:eastAsia="zh-CN" w:bidi="hi-IN"/>
        </w:rPr>
        <w:t xml:space="preserve"> spełniania przez kandydata warunków lub kryteriów branych pod uwagę </w:t>
      </w:r>
      <w:r>
        <w:rPr>
          <w:rFonts w:ascii="Times New Roman" w:eastAsia="DejaVu Sans" w:hAnsi="Times New Roman" w:cs="Times New Roman"/>
          <w:kern w:val="2"/>
          <w:lang w:val="x-none" w:eastAsia="zh-CN" w:bidi="hi-IN"/>
        </w:rPr>
        <w:br/>
        <w:t>w postępowaniu rekrutacyjnym</w:t>
      </w:r>
      <w:r>
        <w:rPr>
          <w:rFonts w:ascii="Times New Roman" w:eastAsia="DejaVu Sans" w:hAnsi="Times New Roman" w:cs="Times New Roman"/>
          <w:kern w:val="2"/>
          <w:lang w:eastAsia="zh-CN" w:bidi="hi-IN"/>
        </w:rPr>
        <w:t>,</w:t>
      </w:r>
    </w:p>
    <w:p w:rsidR="00126FDE" w:rsidRDefault="00126FDE" w:rsidP="00126FDE">
      <w:pPr>
        <w:widowControl w:val="0"/>
        <w:suppressAutoHyphens/>
        <w:spacing w:line="276" w:lineRule="auto"/>
        <w:ind w:left="360"/>
        <w:jc w:val="both"/>
        <w:rPr>
          <w:rFonts w:ascii="Liberation Serif" w:eastAsia="DejaVu Sans" w:hAnsi="Liberation Serif" w:cs="FreeSans"/>
          <w:kern w:val="2"/>
          <w:lang w:val="x-none" w:eastAsia="zh-CN" w:bidi="hi-IN"/>
        </w:rPr>
      </w:pPr>
      <w:r>
        <w:rPr>
          <w:rFonts w:ascii="Times New Roman" w:eastAsia="DejaVu Sans" w:hAnsi="Times New Roman" w:cs="Times New Roman"/>
          <w:kern w:val="2"/>
          <w:lang w:eastAsia="zh-CN" w:bidi="hi-IN"/>
        </w:rPr>
        <w:t>2.ustalenie</w:t>
      </w:r>
      <w:r>
        <w:rPr>
          <w:rFonts w:ascii="Times New Roman" w:eastAsia="DejaVu Sans" w:hAnsi="Times New Roman" w:cs="Times New Roman"/>
          <w:kern w:val="2"/>
          <w:lang w:val="x-none" w:eastAsia="zh-CN" w:bidi="hi-IN"/>
        </w:rPr>
        <w:t xml:space="preserve"> wyników postępowania rekrutacyjnego i podanie do publicznej wiadomości listy kandydatów zakwalifikowanych i niezakwalifikowanych</w:t>
      </w:r>
      <w:r>
        <w:rPr>
          <w:rFonts w:ascii="Times New Roman" w:eastAsia="DejaVu Sans" w:hAnsi="Times New Roman" w:cs="Times New Roman"/>
          <w:kern w:val="2"/>
          <w:lang w:eastAsia="zh-CN" w:bidi="hi-IN"/>
        </w:rPr>
        <w:t>,</w:t>
      </w:r>
    </w:p>
    <w:p w:rsidR="00126FDE" w:rsidRDefault="00126FDE" w:rsidP="00126FDE">
      <w:pPr>
        <w:widowControl w:val="0"/>
        <w:suppressAutoHyphens/>
        <w:spacing w:line="276" w:lineRule="auto"/>
        <w:jc w:val="both"/>
        <w:rPr>
          <w:rFonts w:ascii="Liberation Serif" w:eastAsia="DejaVu Sans" w:hAnsi="Liberation Serif" w:cs="FreeSans"/>
          <w:kern w:val="2"/>
          <w:lang w:val="x-none" w:eastAsia="zh-CN" w:bidi="hi-IN"/>
        </w:rPr>
      </w:pPr>
      <w:r>
        <w:rPr>
          <w:rFonts w:ascii="Times New Roman" w:eastAsia="DejaVu Sans" w:hAnsi="Times New Roman" w:cs="Times New Roman"/>
          <w:kern w:val="2"/>
          <w:lang w:eastAsia="zh-CN" w:bidi="hi-IN"/>
        </w:rPr>
        <w:t xml:space="preserve">      3.ustalenie </w:t>
      </w:r>
      <w:r>
        <w:rPr>
          <w:rFonts w:ascii="Times New Roman" w:eastAsia="DejaVu Sans" w:hAnsi="Times New Roman" w:cs="Times New Roman"/>
          <w:kern w:val="2"/>
          <w:lang w:val="x-none" w:eastAsia="zh-CN" w:bidi="hi-IN"/>
        </w:rPr>
        <w:t>i podanie listy kandydatów przyjętych i nieprzyjętych do publicznej wiadomości</w:t>
      </w:r>
      <w:r>
        <w:rPr>
          <w:rFonts w:ascii="Times New Roman" w:eastAsia="DejaVu Sans" w:hAnsi="Times New Roman" w:cs="Times New Roman"/>
          <w:kern w:val="2"/>
          <w:lang w:eastAsia="zh-CN" w:bidi="hi-IN"/>
        </w:rPr>
        <w:t>,</w:t>
      </w:r>
    </w:p>
    <w:p w:rsidR="00126FDE" w:rsidRDefault="00126FDE" w:rsidP="00126FDE">
      <w:pPr>
        <w:widowControl w:val="0"/>
        <w:suppressAutoHyphens/>
        <w:spacing w:line="276" w:lineRule="auto"/>
        <w:ind w:left="360"/>
        <w:jc w:val="both"/>
        <w:rPr>
          <w:rFonts w:ascii="Liberation Serif" w:eastAsia="DejaVu Sans" w:hAnsi="Liberation Serif" w:cs="FreeSans"/>
          <w:kern w:val="2"/>
          <w:lang w:val="x-none" w:eastAsia="zh-CN" w:bidi="hi-IN"/>
        </w:rPr>
      </w:pPr>
      <w:r>
        <w:rPr>
          <w:rFonts w:ascii="Times New Roman" w:eastAsia="DejaVu Sans" w:hAnsi="Times New Roman" w:cs="Times New Roman"/>
          <w:kern w:val="2"/>
          <w:lang w:eastAsia="zh-CN" w:bidi="hi-IN"/>
        </w:rPr>
        <w:t xml:space="preserve">4.sporządzenie </w:t>
      </w:r>
      <w:r>
        <w:rPr>
          <w:rFonts w:ascii="Times New Roman" w:eastAsia="DejaVu Sans" w:hAnsi="Times New Roman" w:cs="Times New Roman"/>
          <w:kern w:val="2"/>
          <w:lang w:val="x-none" w:eastAsia="zh-CN" w:bidi="hi-IN"/>
        </w:rPr>
        <w:t>protokołu postępowania rekrutacyjnego</w:t>
      </w:r>
      <w:r>
        <w:rPr>
          <w:rFonts w:ascii="Times New Roman" w:eastAsia="DejaVu Sans" w:hAnsi="Times New Roman" w:cs="Times New Roman"/>
          <w:kern w:val="2"/>
          <w:lang w:eastAsia="zh-CN" w:bidi="hi-IN"/>
        </w:rPr>
        <w:t>,</w:t>
      </w:r>
    </w:p>
    <w:p w:rsidR="00126FDE" w:rsidRDefault="00126FDE" w:rsidP="00126FDE">
      <w:pPr>
        <w:widowControl w:val="0"/>
        <w:suppressAutoHyphens/>
        <w:spacing w:line="276" w:lineRule="auto"/>
        <w:ind w:left="360"/>
        <w:jc w:val="both"/>
        <w:rPr>
          <w:rFonts w:ascii="Liberation Serif" w:eastAsia="DejaVu Sans" w:hAnsi="Liberation Serif" w:cs="FreeSans"/>
          <w:kern w:val="2"/>
          <w:lang w:val="x-none" w:eastAsia="zh-CN" w:bidi="hi-IN"/>
        </w:rPr>
      </w:pPr>
      <w:r>
        <w:rPr>
          <w:rFonts w:ascii="Times New Roman" w:eastAsia="DejaVu Sans" w:hAnsi="Times New Roman" w:cs="Times New Roman"/>
          <w:kern w:val="2"/>
          <w:lang w:eastAsia="zh-CN" w:bidi="hi-IN"/>
        </w:rPr>
        <w:t xml:space="preserve">5.sporządzenie </w:t>
      </w:r>
      <w:r>
        <w:rPr>
          <w:rFonts w:ascii="Times New Roman" w:eastAsia="DejaVu Sans" w:hAnsi="Times New Roman" w:cs="Times New Roman"/>
          <w:kern w:val="2"/>
          <w:lang w:val="x-none" w:eastAsia="zh-CN" w:bidi="hi-IN"/>
        </w:rPr>
        <w:t>uzasadnienia odmowy przyjęcia kandydata.</w:t>
      </w:r>
    </w:p>
    <w:p w:rsidR="00126FDE" w:rsidRDefault="00126FDE" w:rsidP="00126FDE">
      <w:pPr>
        <w:widowControl w:val="0"/>
        <w:suppressAutoHyphens/>
        <w:spacing w:line="276" w:lineRule="auto"/>
        <w:jc w:val="both"/>
        <w:rPr>
          <w:rFonts w:ascii="Times New Roman" w:eastAsia="DejaVu Sans" w:hAnsi="Times New Roman" w:cs="Times New Roman"/>
          <w:kern w:val="2"/>
          <w:lang w:val="x-none" w:eastAsia="zh-CN" w:bidi="hi-IN"/>
        </w:rPr>
      </w:pPr>
    </w:p>
    <w:p w:rsidR="00126FDE" w:rsidRDefault="00126FDE" w:rsidP="00126FDE">
      <w:pPr>
        <w:widowControl w:val="0"/>
        <w:suppressAutoHyphens/>
        <w:spacing w:line="276" w:lineRule="auto"/>
        <w:jc w:val="center"/>
        <w:rPr>
          <w:rFonts w:ascii="Liberation Serif" w:eastAsia="DejaVu Sans" w:hAnsi="Liberation Serif" w:cs="FreeSans"/>
          <w:kern w:val="2"/>
          <w:lang w:val="x-none" w:eastAsia="zh-CN" w:bidi="hi-IN"/>
        </w:rPr>
      </w:pPr>
      <w:r>
        <w:rPr>
          <w:rFonts w:ascii="Times New Roman" w:eastAsia="DejaVu Sans" w:hAnsi="Times New Roman" w:cs="Times New Roman"/>
          <w:b/>
          <w:kern w:val="2"/>
          <w:lang w:val="x-none" w:eastAsia="zh-CN" w:bidi="hi-IN"/>
        </w:rPr>
        <w:t>§ 3</w:t>
      </w:r>
    </w:p>
    <w:p w:rsidR="00126FDE" w:rsidRDefault="00126FDE" w:rsidP="00126FDE">
      <w:pPr>
        <w:widowControl w:val="0"/>
        <w:suppressAutoHyphens/>
        <w:spacing w:line="276" w:lineRule="auto"/>
        <w:jc w:val="both"/>
        <w:rPr>
          <w:rFonts w:ascii="Liberation Serif" w:eastAsia="DejaVu Sans" w:hAnsi="Liberation Serif" w:cs="FreeSans"/>
          <w:kern w:val="2"/>
          <w:sz w:val="22"/>
          <w:szCs w:val="22"/>
          <w:lang w:val="x-none" w:eastAsia="zh-CN" w:bidi="hi-IN"/>
        </w:rPr>
      </w:pPr>
      <w:r>
        <w:rPr>
          <w:rFonts w:ascii="Times New Roman" w:eastAsia="DejaVu Sans" w:hAnsi="Times New Roman" w:cs="Times New Roman"/>
          <w:kern w:val="2"/>
          <w:sz w:val="22"/>
          <w:szCs w:val="22"/>
          <w:lang w:val="x-none" w:eastAsia="zh-CN" w:bidi="hi-IN"/>
        </w:rPr>
        <w:t>W skład Komisji wchodzą</w:t>
      </w:r>
      <w:r>
        <w:rPr>
          <w:rFonts w:ascii="Times New Roman" w:eastAsia="DejaVu Sans" w:hAnsi="Times New Roman" w:cs="Times New Roman"/>
          <w:kern w:val="2"/>
          <w:sz w:val="22"/>
          <w:szCs w:val="22"/>
          <w:vertAlign w:val="superscript"/>
          <w:lang w:val="x-none" w:eastAsia="zh-CN" w:bidi="hi-IN"/>
        </w:rPr>
        <w:footnoteReference w:id="1"/>
      </w:r>
      <w:r>
        <w:rPr>
          <w:rFonts w:ascii="Times New Roman" w:eastAsia="DejaVu Sans" w:hAnsi="Times New Roman" w:cs="Times New Roman"/>
          <w:kern w:val="2"/>
          <w:sz w:val="22"/>
          <w:szCs w:val="22"/>
          <w:lang w:val="x-none" w:eastAsia="zh-CN" w:bidi="hi-IN"/>
        </w:rPr>
        <w:t>:</w:t>
      </w:r>
    </w:p>
    <w:p w:rsidR="00126FDE" w:rsidRDefault="00126FDE" w:rsidP="00126FDE">
      <w:pPr>
        <w:widowControl w:val="0"/>
        <w:suppressAutoHyphens/>
        <w:spacing w:line="276" w:lineRule="auto"/>
        <w:rPr>
          <w:rFonts w:ascii="Liberation Serif" w:eastAsia="DejaVu Sans" w:hAnsi="Liberation Serif" w:cs="FreeSans"/>
          <w:kern w:val="2"/>
          <w:sz w:val="22"/>
          <w:szCs w:val="22"/>
          <w:lang w:val="x-none" w:eastAsia="zh-CN" w:bidi="hi-IN"/>
        </w:rPr>
      </w:pPr>
      <w:r>
        <w:rPr>
          <w:rFonts w:ascii="Times New Roman" w:hAnsi="Times New Roman" w:cs="Times New Roman"/>
          <w:kern w:val="2"/>
          <w:sz w:val="22"/>
          <w:szCs w:val="22"/>
          <w:lang w:eastAsia="zh-CN" w:bidi="hi-IN"/>
        </w:rPr>
        <w:t xml:space="preserve">               Agnieszka Starzyk </w:t>
      </w:r>
      <w:r>
        <w:rPr>
          <w:rFonts w:ascii="Times New Roman" w:eastAsia="DejaVu Sans" w:hAnsi="Times New Roman" w:cs="Times New Roman"/>
          <w:kern w:val="2"/>
          <w:sz w:val="22"/>
          <w:szCs w:val="22"/>
          <w:lang w:val="x-none" w:eastAsia="zh-CN" w:bidi="hi-IN"/>
        </w:rPr>
        <w:t>–</w:t>
      </w:r>
      <w:r>
        <w:rPr>
          <w:rFonts w:ascii="Times New Roman" w:hAnsi="Times New Roman" w:cs="Times New Roman"/>
          <w:kern w:val="2"/>
          <w:sz w:val="22"/>
          <w:szCs w:val="22"/>
          <w:lang w:val="x-none" w:eastAsia="zh-CN" w:bidi="hi-I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2"/>
          <w:szCs w:val="22"/>
          <w:lang w:val="x-none" w:eastAsia="zh-CN" w:bidi="hi-IN"/>
        </w:rPr>
        <w:t>Przewodniczący Komisji,</w:t>
      </w:r>
    </w:p>
    <w:p w:rsidR="00126FDE" w:rsidRDefault="00126FDE" w:rsidP="00126FDE">
      <w:pPr>
        <w:widowControl w:val="0"/>
        <w:suppressAutoHyphens/>
        <w:spacing w:line="276" w:lineRule="auto"/>
        <w:jc w:val="both"/>
        <w:rPr>
          <w:rFonts w:ascii="Liberation Serif" w:eastAsia="DejaVu Sans" w:hAnsi="Liberation Serif" w:cs="FreeSans"/>
          <w:kern w:val="2"/>
          <w:sz w:val="22"/>
          <w:szCs w:val="22"/>
          <w:lang w:val="x-none" w:eastAsia="zh-CN" w:bidi="hi-IN"/>
        </w:rPr>
      </w:pPr>
      <w:r>
        <w:rPr>
          <w:rFonts w:ascii="Times New Roman" w:hAnsi="Times New Roman" w:cs="Times New Roman"/>
          <w:kern w:val="2"/>
          <w:sz w:val="22"/>
          <w:szCs w:val="22"/>
          <w:lang w:val="x-none" w:eastAsia="zh-CN" w:bidi="hi-IN"/>
        </w:rPr>
        <w:t xml:space="preserve">               </w:t>
      </w:r>
      <w:r>
        <w:rPr>
          <w:rFonts w:ascii="Times New Roman" w:hAnsi="Times New Roman" w:cs="Times New Roman"/>
          <w:kern w:val="2"/>
          <w:sz w:val="22"/>
          <w:szCs w:val="22"/>
          <w:lang w:eastAsia="zh-CN" w:bidi="hi-IN"/>
        </w:rPr>
        <w:t xml:space="preserve">Małgorzata </w:t>
      </w:r>
      <w:proofErr w:type="spellStart"/>
      <w:r>
        <w:rPr>
          <w:rFonts w:ascii="Times New Roman" w:hAnsi="Times New Roman" w:cs="Times New Roman"/>
          <w:kern w:val="2"/>
          <w:sz w:val="22"/>
          <w:szCs w:val="22"/>
          <w:lang w:eastAsia="zh-CN" w:bidi="hi-IN"/>
        </w:rPr>
        <w:t>Styrkowiec</w:t>
      </w:r>
      <w:proofErr w:type="spellEnd"/>
      <w:r>
        <w:rPr>
          <w:rFonts w:ascii="Times New Roman" w:hAnsi="Times New Roman" w:cs="Times New Roman"/>
          <w:kern w:val="2"/>
          <w:sz w:val="22"/>
          <w:szCs w:val="22"/>
          <w:lang w:val="x-none" w:eastAsia="zh-CN" w:bidi="hi-I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2"/>
          <w:szCs w:val="22"/>
          <w:lang w:val="x-none" w:eastAsia="zh-CN" w:bidi="hi-IN"/>
        </w:rPr>
        <w:t>–</w:t>
      </w:r>
      <w:r>
        <w:rPr>
          <w:rFonts w:ascii="Times New Roman" w:hAnsi="Times New Roman" w:cs="Times New Roman"/>
          <w:kern w:val="2"/>
          <w:sz w:val="22"/>
          <w:szCs w:val="22"/>
          <w:lang w:val="x-none" w:eastAsia="zh-CN" w:bidi="hi-I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2"/>
          <w:szCs w:val="22"/>
          <w:lang w:val="x-none" w:eastAsia="zh-CN" w:bidi="hi-IN"/>
        </w:rPr>
        <w:t>Członek Komisji,</w:t>
      </w:r>
    </w:p>
    <w:p w:rsidR="00126FDE" w:rsidRDefault="00126FDE" w:rsidP="00126FDE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Józefa Drwal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–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Członek Komisji</w:t>
      </w:r>
    </w:p>
    <w:p w:rsidR="00126FDE" w:rsidRDefault="00126FDE" w:rsidP="00126FDE">
      <w:pPr>
        <w:keepNext/>
        <w:keepLines/>
        <w:widowControl w:val="0"/>
        <w:suppressAutoHyphens/>
        <w:spacing w:line="276" w:lineRule="auto"/>
        <w:jc w:val="center"/>
        <w:rPr>
          <w:rFonts w:ascii="Liberation Serif" w:eastAsia="DejaVu Sans" w:hAnsi="Liberation Serif" w:cs="FreeSans"/>
          <w:kern w:val="2"/>
          <w:sz w:val="22"/>
          <w:szCs w:val="22"/>
          <w:lang w:val="x-none" w:eastAsia="zh-CN" w:bidi="hi-IN"/>
        </w:rPr>
      </w:pPr>
      <w:r>
        <w:rPr>
          <w:rFonts w:ascii="Times New Roman" w:eastAsia="DejaVu Sans" w:hAnsi="Times New Roman" w:cs="Times New Roman"/>
          <w:b/>
          <w:kern w:val="2"/>
          <w:sz w:val="22"/>
          <w:szCs w:val="22"/>
          <w:lang w:val="x-none" w:eastAsia="zh-CN" w:bidi="hi-IN"/>
        </w:rPr>
        <w:t>§ 4</w:t>
      </w:r>
    </w:p>
    <w:p w:rsidR="00126FDE" w:rsidRDefault="00126FDE" w:rsidP="00126FDE">
      <w:pPr>
        <w:keepNext/>
        <w:keepLines/>
        <w:widowControl w:val="0"/>
        <w:suppressAutoHyphens/>
        <w:spacing w:line="276" w:lineRule="auto"/>
        <w:jc w:val="both"/>
        <w:rPr>
          <w:rFonts w:ascii="Times New Roman" w:eastAsia="DejaVu Sans" w:hAnsi="Times New Roman" w:cs="Times New Roman"/>
          <w:b/>
          <w:kern w:val="2"/>
          <w:sz w:val="22"/>
          <w:szCs w:val="22"/>
          <w:lang w:val="x-none" w:eastAsia="zh-CN" w:bidi="hi-IN"/>
        </w:rPr>
      </w:pPr>
    </w:p>
    <w:p w:rsidR="00126FDE" w:rsidRDefault="00126FDE" w:rsidP="00126FDE">
      <w:pPr>
        <w:keepNext/>
        <w:keepLines/>
        <w:widowControl w:val="0"/>
        <w:numPr>
          <w:ilvl w:val="1"/>
          <w:numId w:val="1"/>
        </w:numPr>
        <w:suppressAutoHyphens/>
        <w:spacing w:line="276" w:lineRule="auto"/>
        <w:ind w:left="360"/>
        <w:jc w:val="both"/>
        <w:rPr>
          <w:rFonts w:ascii="Liberation Serif" w:eastAsia="DejaVu Sans" w:hAnsi="Liberation Serif" w:cs="FreeSans"/>
          <w:kern w:val="2"/>
          <w:sz w:val="22"/>
          <w:szCs w:val="22"/>
          <w:lang w:val="x-none" w:eastAsia="zh-CN" w:bidi="hi-IN"/>
        </w:rPr>
      </w:pPr>
      <w:r>
        <w:rPr>
          <w:rFonts w:ascii="Times New Roman" w:eastAsia="DejaVu Sans" w:hAnsi="Times New Roman" w:cs="Times New Roman"/>
          <w:kern w:val="2"/>
          <w:sz w:val="22"/>
          <w:szCs w:val="22"/>
          <w:lang w:val="x-none" w:eastAsia="zh-CN" w:bidi="hi-IN"/>
        </w:rPr>
        <w:t>Komisja obraduje na posiedzeniach.</w:t>
      </w:r>
    </w:p>
    <w:p w:rsidR="00126FDE" w:rsidRDefault="00126FDE" w:rsidP="00126FDE">
      <w:pPr>
        <w:widowControl w:val="0"/>
        <w:numPr>
          <w:ilvl w:val="1"/>
          <w:numId w:val="1"/>
        </w:numPr>
        <w:suppressAutoHyphens/>
        <w:spacing w:line="276" w:lineRule="auto"/>
        <w:ind w:left="360"/>
        <w:jc w:val="both"/>
        <w:rPr>
          <w:rFonts w:ascii="Liberation Serif" w:eastAsia="DejaVu Sans" w:hAnsi="Liberation Serif" w:cs="FreeSans"/>
          <w:kern w:val="2"/>
          <w:sz w:val="22"/>
          <w:szCs w:val="22"/>
          <w:lang w:val="x-none" w:eastAsia="zh-CN" w:bidi="hi-IN"/>
        </w:rPr>
      </w:pPr>
      <w:r>
        <w:rPr>
          <w:rFonts w:ascii="Times New Roman" w:eastAsia="DejaVu Sans" w:hAnsi="Times New Roman" w:cs="Times New Roman"/>
          <w:kern w:val="2"/>
          <w:sz w:val="22"/>
          <w:szCs w:val="22"/>
          <w:lang w:val="x-none" w:eastAsia="zh-CN" w:bidi="hi-IN"/>
        </w:rPr>
        <w:t xml:space="preserve">Najpóźniej w terminie trzech dni od </w:t>
      </w:r>
      <w:r>
        <w:rPr>
          <w:rFonts w:ascii="Times New Roman" w:eastAsia="DejaVu Sans" w:hAnsi="Times New Roman" w:cs="Times New Roman"/>
          <w:kern w:val="2"/>
          <w:sz w:val="22"/>
          <w:szCs w:val="22"/>
          <w:lang w:eastAsia="zh-CN" w:bidi="hi-IN"/>
        </w:rPr>
        <w:t xml:space="preserve">daty </w:t>
      </w:r>
      <w:r>
        <w:rPr>
          <w:rFonts w:ascii="Times New Roman" w:eastAsia="DejaVu Sans" w:hAnsi="Times New Roman" w:cs="Times New Roman"/>
          <w:kern w:val="2"/>
          <w:sz w:val="22"/>
          <w:szCs w:val="22"/>
          <w:lang w:val="x-none" w:eastAsia="zh-CN" w:bidi="hi-IN"/>
        </w:rPr>
        <w:t>posiedzenia Komisji sporządza się protokół z jej posiedzenia.</w:t>
      </w:r>
    </w:p>
    <w:p w:rsidR="00126FDE" w:rsidRDefault="00126FDE" w:rsidP="00126FDE">
      <w:pPr>
        <w:widowControl w:val="0"/>
        <w:numPr>
          <w:ilvl w:val="1"/>
          <w:numId w:val="1"/>
        </w:numPr>
        <w:suppressAutoHyphens/>
        <w:spacing w:line="276" w:lineRule="auto"/>
        <w:ind w:left="360"/>
        <w:jc w:val="both"/>
        <w:rPr>
          <w:rFonts w:ascii="Liberation Serif" w:eastAsia="DejaVu Sans" w:hAnsi="Liberation Serif" w:cs="FreeSans"/>
          <w:kern w:val="2"/>
          <w:sz w:val="22"/>
          <w:szCs w:val="22"/>
          <w:lang w:val="x-none" w:eastAsia="zh-CN" w:bidi="hi-IN"/>
        </w:rPr>
      </w:pPr>
      <w:r>
        <w:rPr>
          <w:rFonts w:ascii="Times New Roman" w:eastAsia="DejaVu Sans" w:hAnsi="Times New Roman" w:cs="Times New Roman"/>
          <w:kern w:val="2"/>
          <w:sz w:val="22"/>
          <w:szCs w:val="22"/>
          <w:lang w:val="x-none" w:eastAsia="zh-CN" w:bidi="hi-IN"/>
        </w:rPr>
        <w:t xml:space="preserve">Posiedzenia </w:t>
      </w:r>
      <w:r>
        <w:rPr>
          <w:rFonts w:ascii="Times New Roman" w:eastAsia="DejaVu Sans" w:hAnsi="Times New Roman" w:cs="Times New Roman"/>
          <w:kern w:val="2"/>
          <w:sz w:val="22"/>
          <w:szCs w:val="22"/>
          <w:lang w:eastAsia="zh-CN" w:bidi="hi-IN"/>
        </w:rPr>
        <w:t>Komisji</w:t>
      </w:r>
      <w:r>
        <w:rPr>
          <w:rFonts w:ascii="Times New Roman" w:eastAsia="DejaVu Sans" w:hAnsi="Times New Roman" w:cs="Times New Roman"/>
          <w:kern w:val="2"/>
          <w:sz w:val="22"/>
          <w:szCs w:val="22"/>
          <w:lang w:val="x-none" w:eastAsia="zh-CN" w:bidi="hi-IN"/>
        </w:rPr>
        <w:t xml:space="preserve"> zwołuje i prowadzi przewodniczący</w:t>
      </w:r>
      <w:r>
        <w:rPr>
          <w:rFonts w:ascii="Times New Roman" w:eastAsia="DejaVu Sans" w:hAnsi="Times New Roman" w:cs="Times New Roman"/>
          <w:kern w:val="2"/>
          <w:sz w:val="22"/>
          <w:szCs w:val="22"/>
          <w:lang w:eastAsia="zh-CN" w:bidi="hi-IN"/>
        </w:rPr>
        <w:t>.</w:t>
      </w:r>
    </w:p>
    <w:p w:rsidR="00126FDE" w:rsidRDefault="00126FDE" w:rsidP="00126FDE">
      <w:pPr>
        <w:widowControl w:val="0"/>
        <w:numPr>
          <w:ilvl w:val="1"/>
          <w:numId w:val="1"/>
        </w:numPr>
        <w:suppressAutoHyphens/>
        <w:spacing w:line="276" w:lineRule="auto"/>
        <w:ind w:left="360"/>
        <w:jc w:val="both"/>
        <w:rPr>
          <w:rFonts w:ascii="Liberation Serif" w:eastAsia="DejaVu Sans" w:hAnsi="Liberation Serif" w:cs="FreeSans"/>
          <w:kern w:val="2"/>
          <w:sz w:val="22"/>
          <w:szCs w:val="22"/>
          <w:lang w:val="x-none" w:eastAsia="zh-CN" w:bidi="hi-IN"/>
        </w:rPr>
      </w:pPr>
      <w:r>
        <w:rPr>
          <w:rFonts w:ascii="Times New Roman" w:eastAsia="DejaVu Sans" w:hAnsi="Times New Roman" w:cs="Times New Roman"/>
          <w:kern w:val="2"/>
          <w:sz w:val="22"/>
          <w:szCs w:val="22"/>
          <w:lang w:val="x-none" w:eastAsia="zh-CN" w:bidi="hi-IN"/>
        </w:rPr>
        <w:t xml:space="preserve">Prace komisji są prowadzone, jeżeli w posiedzeniu komisji bierze udział co najmniej 2/3 osób wchodzących w </w:t>
      </w:r>
      <w:r>
        <w:rPr>
          <w:rFonts w:ascii="Times New Roman" w:eastAsia="DejaVu Sans" w:hAnsi="Times New Roman" w:cs="Times New Roman"/>
          <w:kern w:val="2"/>
          <w:sz w:val="22"/>
          <w:szCs w:val="22"/>
          <w:lang w:eastAsia="zh-CN" w:bidi="hi-IN"/>
        </w:rPr>
        <w:t xml:space="preserve">jej </w:t>
      </w:r>
      <w:r>
        <w:rPr>
          <w:rFonts w:ascii="Times New Roman" w:eastAsia="DejaVu Sans" w:hAnsi="Times New Roman" w:cs="Times New Roman"/>
          <w:kern w:val="2"/>
          <w:sz w:val="22"/>
          <w:szCs w:val="22"/>
          <w:lang w:val="x-none" w:eastAsia="zh-CN" w:bidi="hi-IN"/>
        </w:rPr>
        <w:t>skład.</w:t>
      </w:r>
    </w:p>
    <w:p w:rsidR="00126FDE" w:rsidRDefault="00126FDE" w:rsidP="00126FDE">
      <w:pPr>
        <w:widowControl w:val="0"/>
        <w:suppressAutoHyphens/>
        <w:spacing w:line="276" w:lineRule="auto"/>
        <w:jc w:val="both"/>
        <w:rPr>
          <w:rFonts w:ascii="Times New Roman" w:eastAsia="DejaVu Sans" w:hAnsi="Times New Roman" w:cs="Times New Roman"/>
          <w:i/>
          <w:kern w:val="2"/>
          <w:sz w:val="22"/>
          <w:szCs w:val="22"/>
          <w:lang w:val="x-none" w:eastAsia="zh-CN" w:bidi="hi-IN"/>
        </w:rPr>
      </w:pPr>
    </w:p>
    <w:p w:rsidR="00126FDE" w:rsidRDefault="00126FDE" w:rsidP="00126FDE">
      <w:pPr>
        <w:widowControl w:val="0"/>
        <w:suppressAutoHyphens/>
        <w:spacing w:line="276" w:lineRule="auto"/>
        <w:jc w:val="center"/>
        <w:rPr>
          <w:rFonts w:ascii="Liberation Serif" w:eastAsia="DejaVu Sans" w:hAnsi="Liberation Serif" w:cs="FreeSans"/>
          <w:kern w:val="2"/>
          <w:lang w:val="x-none" w:eastAsia="zh-CN" w:bidi="hi-IN"/>
        </w:rPr>
      </w:pPr>
      <w:r>
        <w:rPr>
          <w:rFonts w:ascii="Times New Roman" w:eastAsia="DejaVu Sans" w:hAnsi="Times New Roman" w:cs="Times New Roman"/>
          <w:b/>
          <w:kern w:val="2"/>
          <w:lang w:val="x-none" w:eastAsia="zh-CN" w:bidi="hi-IN"/>
        </w:rPr>
        <w:t>§ 5</w:t>
      </w:r>
    </w:p>
    <w:p w:rsidR="002A4BCE" w:rsidRDefault="00126FDE" w:rsidP="00126FDE">
      <w:r>
        <w:rPr>
          <w:rFonts w:ascii="Times New Roman" w:eastAsia="DejaVu Sans" w:hAnsi="Times New Roman" w:cs="Times New Roman"/>
          <w:kern w:val="2"/>
          <w:lang w:val="x-none" w:eastAsia="zh-CN" w:bidi="hi-IN"/>
        </w:rPr>
        <w:t>Zarządzenie wchodzi w życie z dniem następującym po dniu ogłoszenia</w:t>
      </w:r>
      <w:bookmarkStart w:id="0" w:name="_GoBack"/>
      <w:bookmarkEnd w:id="0"/>
    </w:p>
    <w:sectPr w:rsidR="002A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54" w:rsidRDefault="00231F54" w:rsidP="00126FDE">
      <w:r>
        <w:separator/>
      </w:r>
    </w:p>
  </w:endnote>
  <w:endnote w:type="continuationSeparator" w:id="0">
    <w:p w:rsidR="00231F54" w:rsidRDefault="00231F54" w:rsidP="0012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</w:font>
  <w:font w:name="FreeSans"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54" w:rsidRDefault="00231F54" w:rsidP="00126FDE">
      <w:r>
        <w:separator/>
      </w:r>
    </w:p>
  </w:footnote>
  <w:footnote w:type="continuationSeparator" w:id="0">
    <w:p w:rsidR="00231F54" w:rsidRDefault="00231F54" w:rsidP="00126FDE">
      <w:r>
        <w:continuationSeparator/>
      </w:r>
    </w:p>
  </w:footnote>
  <w:footnote w:id="1">
    <w:p w:rsidR="00126FDE" w:rsidRDefault="00126FDE" w:rsidP="00126FD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A7"/>
    <w:rsid w:val="00126FDE"/>
    <w:rsid w:val="00231F54"/>
    <w:rsid w:val="002A4BCE"/>
    <w:rsid w:val="00B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FD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FD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F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FD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FD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F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2024-02-01T17:01:00Z</dcterms:created>
  <dcterms:modified xsi:type="dcterms:W3CDTF">2024-02-01T17:01:00Z</dcterms:modified>
</cp:coreProperties>
</file>